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Quảng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Phật</w:t>
      </w:r>
    </w:p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Kinh</w:t>
      </w:r>
    </w:p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một</w:t>
      </w:r>
    </w:p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Tịnh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</w:p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>Phần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53</w:t>
      </w:r>
    </w:p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DFKai-SB" w:eastAsia="DFKai-SB" w:hAnsi="DFKai-SB" w:cs="Calibri" w:hint="eastAsia"/>
          <w:b/>
          <w:bCs/>
          <w:noProof w:val="0"/>
          <w:sz w:val="28"/>
          <w:szCs w:val="28"/>
          <w:lang w:val="en-US"/>
        </w:rPr>
        <w:t>大方廣佛華嚴經</w:t>
      </w:r>
    </w:p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(</w:t>
      </w:r>
      <w:r w:rsidRPr="007C1D45">
        <w:rPr>
          <w:rFonts w:ascii="DFKai-SB" w:eastAsia="DFKai-SB" w:hAnsi="DFKai-SB" w:cs="Calibri" w:hint="eastAsia"/>
          <w:b/>
          <w:bCs/>
          <w:noProof w:val="0"/>
          <w:sz w:val="28"/>
          <w:szCs w:val="28"/>
          <w:lang w:val="en-US"/>
        </w:rPr>
        <w:t>十一）淨行品</w:t>
      </w:r>
    </w:p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</w:p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điểm: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</w:p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2005</w:t>
      </w:r>
    </w:p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ngữ: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Bửu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Hòa</w:t>
      </w:r>
    </w:p>
    <w:p w:rsidR="006B69A5" w:rsidRDefault="006B69A5" w:rsidP="007C1D45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duyệt: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Phong,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</w:t>
      </w:r>
    </w:p>
    <w:p w:rsidR="00FC7CC4" w:rsidRPr="00FC7CC4" w:rsidRDefault="00FC7CC4" w:rsidP="00FC7CC4">
      <w:pPr>
        <w:spacing w:line="240" w:lineRule="auto"/>
        <w:rPr>
          <w:rFonts w:ascii="Times New Roman" w:eastAsia="Times New Roman" w:hAnsi="Times New Roman"/>
          <w:noProof w:val="0"/>
          <w:sz w:val="28"/>
          <w:lang w:val="en-US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1567</w:t>
      </w:r>
    </w:p>
    <w:p w:rsidR="00EB261B" w:rsidRPr="007C1D45" w:rsidRDefault="00EB261B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ụng.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mốt:</w:t>
      </w:r>
    </w:p>
    <w:p w:rsidR="00EB261B" w:rsidRPr="007C1D45" w:rsidRDefault="00EB261B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iCs/>
          <w:noProof w:val="0"/>
          <w:sz w:val="28"/>
          <w:szCs w:val="28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Phạn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dĩ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ngật,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sở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tác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giai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biện,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cụ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pháp.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7C1D45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7C1D45">
        <w:rPr>
          <w:rFonts w:ascii="DFKai-SB" w:eastAsia="DFKai-SB" w:hAnsi="DFKai-SB" w:cs="Calibri" w:hint="eastAsia"/>
          <w:b/>
          <w:bCs/>
          <w:noProof w:val="0"/>
          <w:sz w:val="32"/>
          <w:szCs w:val="32"/>
        </w:rPr>
        <w:t>)</w:t>
      </w:r>
      <w:r w:rsidRPr="007C1D45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飯食已訖。當願眾生。所作皆辦。具諸佛法。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xong,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việc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xong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đủ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pháp).</w:t>
      </w:r>
    </w:p>
    <w:p w:rsidR="00EB261B" w:rsidRPr="007C1D45" w:rsidRDefault="00EB261B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“khất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thực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cơm”.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過堂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).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duy-na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“thực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tồn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ngũ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quán”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食存五觀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điều),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“Tam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mềm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“dễ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tiêu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hóa”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“sạch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sẽ”,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vệ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sinh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“như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Luôn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“như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“Lục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“ngũ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ngọt,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đắng,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nhạt;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gộp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xiết.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phú.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bếp,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ngày]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“củi,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gạo,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dầu,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muối,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tương,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dấm,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trà”,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khéo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léo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khéo,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nuốt;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mùi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lành.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sắc.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cứu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Úc,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Úc.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nấu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chay,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quên,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“Người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nọ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nấu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ngon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lắm”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khen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ngợi.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chặt,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dàng!”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“tam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cập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Tăng,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tình,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phổ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dường”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tình,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khắp).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cháo: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“Chúc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lợi,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nhiêu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ích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lợi,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hành).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Hiền,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quên.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đừ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đắm!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“Tiên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dĩ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câu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khiên,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hậu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linh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kéo,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kéo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trí).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miếu,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Bắc,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khéo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léo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léo.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lẽ,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sản.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dân.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hậu,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thú.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dân,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loạt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“phương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tiện”.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“phương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môn,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nguồn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đường”.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lẽ,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hỷ.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đẹp],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quý”,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thiết.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“như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hảo,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đẹp]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Nan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“V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gia?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bày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nhủ: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ấy!”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hỷ.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vao,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đé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đẹt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sợ,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mất!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“Chớ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vẽ,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đắp,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“trang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nghiêm”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hỷ,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ngữ]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trăm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kiếp”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dài,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hảo,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yếu,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được?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tựu;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nhì,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bên,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Trì,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trăm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lẻ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đan”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vượng,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việc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“lãnh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chức?”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-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xét]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lợi.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vả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dẫ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“Thưa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ai?”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bằng,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tốt”,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đẹp!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đầu,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dàng!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khái: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“Cơ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buồn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hội!”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lastRenderedPageBreak/>
        <w:t>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trai”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結齋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“Phạn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dĩ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ngật,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biện,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cụ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xong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pháp).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nấu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“đại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oa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thái”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大鍋菜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羅漢齋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).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“đại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oa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thái”.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nấu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khéo,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xưa,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[ngôi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ấy].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chén,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chén!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nấu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khéo,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chén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xong,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chén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chén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chén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no;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thôi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[thuở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mất.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ích,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nấu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Nấu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vấn.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“pháp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chuyển,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chuyển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trước”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nuôi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nấu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sau: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1)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“tư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trợ”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資助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nuôi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đỡ).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trợ]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2)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lực.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3)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lâu.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4)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lạc.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5)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khoái.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“oai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tú.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6)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7)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8)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phong.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9)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khát.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10)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[trược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khí].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ưu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điểm.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斷食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nhịn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ăn),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liệu.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muôn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lỏng.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bữa,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bữa,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bữa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[no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bụng]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ruột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việc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(ruột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dày)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ép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tải,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trầm;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bụng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ổn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“điệu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cử”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掉舉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chao,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động);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“điệu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cử”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no”.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“đương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biện”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“Sở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tác”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lợi.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câu: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“Nhất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nâng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cao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linh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mình,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phải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nâng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cao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hơn”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thuyền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giòng,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lùi.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lùi,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“phiền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nhẹ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bớt,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trưởng”.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“linh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trầm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“phiền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nhẹ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bớt,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trưởng”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hỏi,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“hội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ma?”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會麼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“hội”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“Hội”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“phàm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hư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vọng”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“Vọng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tưởng,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biệt,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tuyệt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“Hằng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tùy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hỷ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“tùy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phan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nhé!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“Ai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nấy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tốt,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tốt”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thích,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mình]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đủ.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ghim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xả,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hồi;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hồi!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tình,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“ích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kỷ,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tiếng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tăm,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lợi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dưỡng,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ngũ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dục,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trần,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tham,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sân,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si,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mạn”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[Nếu]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nọ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[dùng]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ẩn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điển,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lành”,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nuốt,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sở.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vãnh,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kể.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[hưởng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thụ]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điển,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hoặc;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thọ,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ngục!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sản,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(thiên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thần),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Thiên.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lực;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miếu,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bậc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cẩn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trồng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hoạch.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“bản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gieo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báo”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men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điền;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lầm!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thụ,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luận,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kể!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Bỉnh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độ),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(tổ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Quang)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pháp],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TV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DVD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TV,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ép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TV,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điển,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hỷ.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“sở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biện,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cụ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(việc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xong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thục,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miệng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chữ,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chữ,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DVD?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DVD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Gộp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này]?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tụng.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TV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thỏa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tụng,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DVD.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“sở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quyền,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hoan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nghênh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thông”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“sở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biện,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cụ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rồi!</w:t>
      </w:r>
    </w:p>
    <w:p w:rsidR="006B69A5" w:rsidRPr="007C1D45" w:rsidRDefault="006B69A5" w:rsidP="007C1D45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***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hai.</w:t>
      </w:r>
    </w:p>
    <w:p w:rsidR="00EB261B" w:rsidRPr="007C1D45" w:rsidRDefault="00EB261B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Nhược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thuyết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đắc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tận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biện,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quảng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tuyên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yếu.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7C1D45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7C1D45">
        <w:rPr>
          <w:rFonts w:ascii="DFKai-SB" w:eastAsia="DFKai-SB" w:hAnsi="DFKai-SB" w:cs="Calibri" w:hint="eastAsia"/>
          <w:b/>
          <w:bCs/>
          <w:noProof w:val="0"/>
          <w:sz w:val="32"/>
          <w:szCs w:val="32"/>
        </w:rPr>
        <w:t>)</w:t>
      </w:r>
      <w:r w:rsidRPr="007C1D45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若說法時。當願眾生。得無盡辯。廣宣法要。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thuyết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tài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tận,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rộng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tuyên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yếu).</w:t>
      </w:r>
    </w:p>
    <w:p w:rsidR="00EB261B" w:rsidRPr="007C1D45" w:rsidRDefault="00EB261B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giản:</w:t>
      </w:r>
    </w:p>
    <w:p w:rsidR="00EB261B" w:rsidRPr="007C1D45" w:rsidRDefault="00EB261B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(Sớ)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Hậu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ngật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thuyết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pháp,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diệc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chủ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chi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ân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dã.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7C1D45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疏</w:t>
      </w:r>
      <w:r w:rsidRPr="007C1D45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7C1D45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後一食訖說法，亦為報施主之恩也。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Sớ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bữa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xong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thuyết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nhằm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ơn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chủ).</w:t>
      </w:r>
    </w:p>
    <w:p w:rsidR="007C1D45" w:rsidRPr="007C1D45" w:rsidRDefault="007C1D4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nhớ.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khẩn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“kỳ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đảo”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祈禱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nguyện),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ân.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đáp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đúng!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này],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đó].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về,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應機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cơ).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[khái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này].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sĩ]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thỉnh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nghênh.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gì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ấy”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nghênh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hậu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ngoái.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cứng.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điển.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ấy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đổi”,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cổ,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điện],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tồn,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tích,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cổ,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tồn,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viện]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phỏng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truyền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Bản.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tồn,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chữa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-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cất,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điện.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hỷ.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xưa,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Mỹ,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Mỹ”.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hỏi: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sao?”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không?”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[Gương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viện]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Mỹ.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quốc.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nghênh,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“Thuyết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diễn,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[diễn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thuyết],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ngồi,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“thuyết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hỷ,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tín”.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rồi: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rỗng,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trần.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ảnh.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đen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[chủ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ấy].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nguồn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cổ,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DVD.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nguồn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ảnh]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Nhã,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rỗng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tuếch,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trần.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hỷ,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gợi,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CD/DVD,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CD/DVD,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vẽ,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thiết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“hằng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tùy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hỷ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đức”.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“đắc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tài,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quảng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tuyên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yếu”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(đắc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yếu).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vặn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vẹo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mộng,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huyễn,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bọt,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bóng”.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“hữu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dáng,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mà!</w:t>
      </w:r>
    </w:p>
    <w:p w:rsidR="007C1D4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tóm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câu: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tưởng”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“một,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hai”,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“nhất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nhị”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“Chẳng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biệt,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trước”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rồi!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Cực,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biệt,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trước”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Cực.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Dương;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tạp.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xưng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danh?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“Danh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khả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danh,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danh;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khả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hằng),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Đông,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gỡ,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cận,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hùng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lược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đồng”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nhau),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[nỗi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đạo];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huyễn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“Diệu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không”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(Diệu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Không)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“tướng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[bởi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lẽ],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tỉnh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giấc,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phần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giùi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trưởng.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“tích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tiểu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ngộ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ngộ,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tích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ngộ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triệt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ngộ”.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ngoài.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phục.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“mê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vốn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ấy],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sánh!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Thủ.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tựu]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“viên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hạnh”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ngủ,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gợi,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gỡ!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xích,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tuyệt,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chìm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đắm.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ngóc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vươn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ngụm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sạch;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chìm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khổ.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ràng: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ngủi,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ác),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quỷ,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ngục,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cẩn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sớm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ngủ,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[xét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ngẫm,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khuể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nề,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chịu,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vọng,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đúng,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đảo,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“pháp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yếu”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法要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chứ!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sai!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tịnh,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đẳng,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giác,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“Thấy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suốt,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tại,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tùy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nhiều,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một”.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được”;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trất,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miệng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duyên;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[bởi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lẽ],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miệng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suốt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bảo: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vạn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vãng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đôi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dàng!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Tế.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Châu;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hương,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hương.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duy-na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khéo,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Khể.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Pr="007C1D45">
        <w:rPr>
          <w:rStyle w:val="FootnoteReference"/>
          <w:rFonts w:ascii="Times New Roman" w:eastAsia="Times New Roman" w:hAnsi="Times New Roman"/>
          <w:noProof w:val="0"/>
          <w:sz w:val="28"/>
          <w:szCs w:val="28"/>
        </w:rPr>
        <w:footnoteReference w:id="1"/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Loan,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duy-na,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dự,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sóc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-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tuyệt,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Diễn.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duy-na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nghiễm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chửi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xem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luyến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miệng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chuồn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thân]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đảo,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tiếc!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Diễn,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Diễn)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Lan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gỡ,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huynh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yếu: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“Thấy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suốt,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lắm!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!</w:t>
      </w:r>
    </w:p>
    <w:p w:rsidR="006B69A5" w:rsidRPr="007C1D45" w:rsidRDefault="007C1D4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Thật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của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ói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cạn,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thật: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“Chẳng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tử,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mà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luân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hồi”.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lạ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lùng,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“xả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thân”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mai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[khác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nay].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thấu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hiểu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dậy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chết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“Chúng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chết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nhẹ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ra”.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tế,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chết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diệt,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diệt.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hấu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hoảng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chết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muốn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“thay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áo”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bẩn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thỉu.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đây.</w:t>
      </w:r>
    </w:p>
    <w:p w:rsidR="00EB261B" w:rsidRPr="007C1D45" w:rsidRDefault="00EB261B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1568</w:t>
      </w:r>
    </w:p>
    <w:p w:rsidR="00EB261B" w:rsidRPr="007C1D45" w:rsidRDefault="00EB261B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nhất.</w:t>
      </w:r>
    </w:p>
    <w:p w:rsidR="00EB261B" w:rsidRPr="007C1D45" w:rsidRDefault="00EB261B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6B69A5" w:rsidRPr="007C1D45" w:rsidRDefault="007C1D4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Tùng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xá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xuất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thời,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thâm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nhập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trí,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vĩnh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xuất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tam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giới.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7C1D45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7C1D45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 xml:space="preserve"> </w:t>
      </w:r>
      <w:r w:rsidRPr="007C1D45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從舍出時。當願眾生。深入佛智。永出三界。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nhà,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trí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mãi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cõi).</w:t>
      </w:r>
    </w:p>
    <w:p w:rsidR="00EB261B" w:rsidRPr="007C1D45" w:rsidRDefault="00EB261B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rẽ.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giầy,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trần;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giầy,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dép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lê,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“xung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lương”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沖涼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mát),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Đông,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cửa,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cửa,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uổng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phút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vững,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thoái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chuyển,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hạnh”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“viên”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圓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khuyết.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uổng,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mũi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ngửi,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xúc,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uổng,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hạnh”.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nề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nổi,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“giác,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chánh,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tịnh”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[mong]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vặt,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“Tùng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xá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xuất”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從舍出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ra),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nọ,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xuôi,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“tùng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xá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nhà).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ngốc.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đáng,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dàng!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lòng,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vả,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triển,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xa!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lợi.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biên,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kém,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cửa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“đương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vĩnh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cõi)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đấy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hẹp.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rộng: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vốn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ấy].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loại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tồn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“Chỉ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vọng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tưởng,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chứng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đắc”.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may,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bàn!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bàn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nhau.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hảo].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hòng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tầng.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khử.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tầng,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nhớ,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khử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Nậu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ầng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“minh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trí]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tầng.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nổi.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rõ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đẹp.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trí”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đắc,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lên.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mỏng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thoái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chuyển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Thoái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dối,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chuyển.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căn,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uổng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phút,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nào!”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phút,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uổng.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phút,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giây,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chánh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trang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tưởng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gẫm,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trụ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Bất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trụ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nghỉ,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“vạn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thường”.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“Thường”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“vô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thường”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giây,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phút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giây.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phút,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giây!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diễn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tục,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sát-na,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“tướng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liên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tục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vạn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thường”.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loại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tế.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Dẫu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thôi!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“nghĩ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thông,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được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”.</w:t>
      </w:r>
    </w:p>
    <w:p w:rsidR="006B69A5" w:rsidRPr="007C1D45" w:rsidRDefault="007C1D4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với]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cậy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tĩnh;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tĩnh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hết.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Tĩnh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cạn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biệt.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tầm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thường;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Bích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bằng,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[do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tướng.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vị]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Bích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Quyền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Hướng,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Hiền,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đủ.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đăng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thật.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Da: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(Chuyển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Tướng),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“tinh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thần”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Trường.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Trường.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Da;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thoát,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“đọa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“xuất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“Mười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cùng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lẽ,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“xuất”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“nhập”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biên.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thuyết,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thuyết,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“nói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nói,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nói;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nghe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nghe”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“Lìa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mộng;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hỷ,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lắm: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“Trong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rành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rành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phô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sáu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nẻo,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tỉnh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rồi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cõi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rỗng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toang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hoang”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trước”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cạn.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biệt”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nhiều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Cảng],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nhìn,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cửa,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vòng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lắm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Hệ,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lắm.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lửa,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tàu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thủy,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zero,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zero.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zero,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“cắt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xưa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nay”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tọa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Thiền.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zero,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mắt,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mắt,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mắt.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đắc,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hai:</w:t>
      </w:r>
    </w:p>
    <w:p w:rsidR="00EB261B" w:rsidRPr="007C1D45" w:rsidRDefault="00EB261B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Nhược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thủy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Thiết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Trí,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tri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đẳng.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7C1D45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7C1D45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7C1D45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若入水時。當願眾生。入一切智。知三世等。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nước,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đẳng).</w:t>
      </w:r>
    </w:p>
    <w:p w:rsidR="00EB261B" w:rsidRPr="007C1D45" w:rsidRDefault="00EB261B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“Nhập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thủy”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(Indonesia),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mấy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mùa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Hè.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giầy,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cửa,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hôi,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mát.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Hè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“Nhược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thủy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đẳng”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đẳng);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“Tam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“tam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rốt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ráo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được”.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mộng;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bảo: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tưởng”.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huyễn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tướng.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“Có”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6B69A5" w:rsidRPr="007C1D45" w:rsidRDefault="006B69A5" w:rsidP="007C1D45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*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**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theo:</w:t>
      </w:r>
    </w:p>
    <w:p w:rsidR="00EB261B" w:rsidRPr="007C1D45" w:rsidRDefault="00EB261B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Tẩy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thể,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cấu,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nội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ngoại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quang</w:t>
      </w:r>
      <w:r w:rsidR="007C1D45"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khiết.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7C1D45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7C1D45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7C1D45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洗浴身體。當願眾生。身心無垢。內外光潔。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7C1D45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rửa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cấu,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ngoài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sạch).</w:t>
      </w:r>
    </w:p>
    <w:p w:rsidR="00EB261B" w:rsidRPr="007C1D45" w:rsidRDefault="00EB261B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iCs/>
          <w:noProof w:val="0"/>
          <w:sz w:val="28"/>
          <w:szCs w:val="28"/>
        </w:rPr>
      </w:pP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thị,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Toynbee)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(Ikeda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Daisaku)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lòng: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đớn.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ngằn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tới!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(electromagnetic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wave)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TV,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computer,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cell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phone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đớn,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lạc!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đảm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đớn,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(download)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computer,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giấy.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cell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phone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cell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phone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cell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phone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nghị: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cell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phone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xuyên.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phút.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cell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phone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túi,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túi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túi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giắt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thắt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bóp,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túi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sơ,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thị,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thiếu.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(nội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hải,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máy.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tỉnh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giếng,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đẵn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xỉ!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ư?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Rằm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lẽ,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giùm.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triển,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phép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tĩnh,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đá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tĩnh.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“phạn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hậu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bách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bộ”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bộ).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Tĩnh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tọa,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tĩnh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tọa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hoãn,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ngơi.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tĩnh,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trưởng.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thị,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trẻ,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Loan,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Bắc.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chảy,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dậy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phen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ngủ,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đòi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hỏi!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“đương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cấu,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nội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ngoại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quang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khiết”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(nguyện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nhơ,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sạch).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gội,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“Thân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cấu,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nội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ngoại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quang</w:t>
      </w:r>
      <w:r w:rsidR="007C1D4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khiết”.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ền,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lầm: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tỉnh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lỗi.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lỗi?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lũy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tế.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vãnh,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lũy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dàng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Thiên.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Cách],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lỗi,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Lục.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tỉnh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không?”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ta.</w:t>
      </w:r>
    </w:p>
    <w:p w:rsidR="006B69A5" w:rsidRPr="007C1D45" w:rsidRDefault="007C1D4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Ký,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phiên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phim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cộng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giờ,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xưa,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Xương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Xương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Quân.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dung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Xương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dung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ác,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dỗ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Châu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soạn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quyển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sách,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đặt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tên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Thư.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án,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kiếm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Xương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Văn,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dũng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mãnh,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tỉnh.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để,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Phàm,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Phàm.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điểm!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lũy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lớn;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hụt,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giảm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gieo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neo,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vả,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lặng!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triển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(cách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chữa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thần)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bệnh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[bệnh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khứ.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nghiễm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chữa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chữa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vở,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DVD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rằng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huyền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tế!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tìm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kiếm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xưa.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biện!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luận,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dò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tìm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tòi,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máy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âm,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tỉnh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miên,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nghiệm!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(Brian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Weiss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Mỹ,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chỉnh,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dám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bản,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“phản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học”,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biểu,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ngờ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túc,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rãi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chóng,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lớn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giới.</w:t>
      </w:r>
    </w:p>
    <w:p w:rsidR="006B69A5" w:rsidRPr="007C1D45" w:rsidRDefault="007C1D4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miên,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miên,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[những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ấy]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còn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đang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bị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thôi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miên,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còn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tỉnh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đàm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thoại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linh,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đồng,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miên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hé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tức.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chép,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máy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lại.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giọng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điệu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giọng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điệu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dung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thốt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Chờ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miên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tỉnh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mượn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“linh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quỷ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dựa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thân”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“thần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linh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dựa</w:t>
      </w:r>
      <w:r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thân”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: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6B69A5" w:rsidRPr="007C1D45">
        <w:rPr>
          <w:rFonts w:ascii="Times New Roman" w:eastAsia="Times New Roman" w:hAnsi="Times New Roman"/>
          <w:noProof w:val="0"/>
          <w:sz w:val="28"/>
          <w:szCs w:val="28"/>
        </w:rPr>
        <w:t>pháp.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triển,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mỏng,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vứt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nữa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cửa.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cấp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cứ,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buộc;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thương,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thương,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mình!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triệt.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oai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vượng,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đảo,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đúc,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trời.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phước.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vờ,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nợ.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gẫm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thụ,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nào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nợ.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vương,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nữ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thuở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khênh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kiệu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ngạc.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nợ,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khiêng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kiệu,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dụng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sai!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tụ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Đà,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hiền.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hỗn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-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hầu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kỷ,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bè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iêu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tưởng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ứng,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luân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lý,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nhân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quả,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sót];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biến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oạn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cùng!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mỉ,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hợt,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bộp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chộp,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tâm)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tâm]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bài,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lọt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phút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phút,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ruổi.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nhiều]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lui,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nghiễm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dàng!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[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sinh]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hồ?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được!</w:t>
      </w:r>
    </w:p>
    <w:p w:rsidR="006B69A5" w:rsidRPr="007C1D45" w:rsidRDefault="006B69A5" w:rsidP="007C1D45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vãn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nặng!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theo,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là]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giáo.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ỏi,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ít.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trọng!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bồi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tái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hiện.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A!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C1D45" w:rsidRPr="007C1D45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Đại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Phương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Quảng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Bồ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Tát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Hoa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Nghiêm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Kinh</w:t>
      </w:r>
    </w:p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thứ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mười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một</w:t>
      </w:r>
    </w:p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Tịnh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Hạnh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</w:p>
    <w:p w:rsidR="006B69A5" w:rsidRPr="007C1D45" w:rsidRDefault="006B69A5" w:rsidP="007C1D45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>Phần</w:t>
      </w:r>
      <w:r w:rsidR="007C1D45" w:rsidRPr="007C1D45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 xml:space="preserve"> </w:t>
      </w:r>
      <w:r w:rsidRPr="007C1D45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53</w:t>
      </w:r>
    </w:p>
    <w:sectPr w:rsidR="006B69A5" w:rsidRPr="007C1D45" w:rsidSect="00AF37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377F" w:rsidRDefault="00AF377F">
      <w:pPr>
        <w:spacing w:line="240" w:lineRule="auto"/>
      </w:pPr>
      <w:r>
        <w:separator/>
      </w:r>
    </w:p>
  </w:endnote>
  <w:endnote w:type="continuationSeparator" w:id="0">
    <w:p w:rsidR="00AF377F" w:rsidRDefault="00AF3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Pr="00176E36" w:rsidRDefault="00176E36" w:rsidP="00176E3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Pr="00176E36" w:rsidRDefault="00176E36" w:rsidP="00176E3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377F" w:rsidRDefault="00AF377F">
      <w:pPr>
        <w:spacing w:line="240" w:lineRule="auto"/>
      </w:pPr>
      <w:r>
        <w:separator/>
      </w:r>
    </w:p>
  </w:footnote>
  <w:footnote w:type="continuationSeparator" w:id="0">
    <w:p w:rsidR="00AF377F" w:rsidRDefault="00AF377F">
      <w:pPr>
        <w:spacing w:line="240" w:lineRule="auto"/>
      </w:pPr>
      <w:r>
        <w:continuationSeparator/>
      </w:r>
    </w:p>
  </w:footnote>
  <w:footnote w:id="1">
    <w:p w:rsidR="006B69A5" w:rsidRPr="006B69A5" w:rsidRDefault="006B69A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7C1D45"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Tương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Lý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</w:t>
      </w:r>
      <w:r w:rsidRPr="006B69A5">
        <w:rPr>
          <w:rFonts w:ascii="DFKai-SB" w:eastAsia="DFKai-SB" w:hAnsi="DFKai-SB" w:cs="Calibri" w:hint="eastAsia"/>
          <w:noProof w:val="0"/>
          <w:color w:val="000000"/>
          <w:sz w:val="24"/>
          <w:szCs w:val="24"/>
          <w:lang w:val="en-US"/>
        </w:rPr>
        <w:t>襄理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)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chức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vụ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phụ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tá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Kinh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Lý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</w:t>
      </w:r>
      <w:r w:rsidRPr="006B69A5">
        <w:rPr>
          <w:rFonts w:ascii="DFKai-SB" w:eastAsia="DFKai-SB" w:hAnsi="DFKai-SB" w:cs="Calibri" w:hint="eastAsia"/>
          <w:noProof w:val="0"/>
          <w:color w:val="000000"/>
          <w:sz w:val="24"/>
          <w:szCs w:val="24"/>
          <w:lang w:val="en-US"/>
        </w:rPr>
        <w:t>经理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,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giám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đốc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điều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hành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một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xí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nghiệp).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Tùy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theo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cơ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cấu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xí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nghiệp,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vị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này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thể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Phó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Kinh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Lý.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Chức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vụ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này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thường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áp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dụng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cho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ngành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tài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chánh,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ngân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hàng,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tức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nhân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viên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phụ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tá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cao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cấp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nhất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Kinh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Lý,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dưới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chức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vụ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Phó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Kinh</w:t>
      </w:r>
      <w:r w:rsidR="007C1D4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6B69A5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5A2F2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33905"/>
    <w:multiLevelType w:val="hybridMultilevel"/>
    <w:tmpl w:val="45925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1327321">
    <w:abstractNumId w:val="0"/>
  </w:num>
  <w:num w:numId="2" w16cid:durableId="164805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36"/>
    <w:rsid w:val="00176E36"/>
    <w:rsid w:val="00286D41"/>
    <w:rsid w:val="00287D08"/>
    <w:rsid w:val="003B78EE"/>
    <w:rsid w:val="00482279"/>
    <w:rsid w:val="00577166"/>
    <w:rsid w:val="00581350"/>
    <w:rsid w:val="006127A1"/>
    <w:rsid w:val="006272D1"/>
    <w:rsid w:val="0066152B"/>
    <w:rsid w:val="00693436"/>
    <w:rsid w:val="006B69A5"/>
    <w:rsid w:val="00740315"/>
    <w:rsid w:val="007C1D45"/>
    <w:rsid w:val="007E71F4"/>
    <w:rsid w:val="00933CB2"/>
    <w:rsid w:val="0097746E"/>
    <w:rsid w:val="00AF377F"/>
    <w:rsid w:val="00BA4188"/>
    <w:rsid w:val="00BD3B9B"/>
    <w:rsid w:val="00CB439B"/>
    <w:rsid w:val="00EB261B"/>
    <w:rsid w:val="00FB569D"/>
    <w:rsid w:val="00F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3C44564-4CE2-45BD-9F04-1F5DFF83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rsid w:val="007403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333333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tgc">
    <w:name w:val="_tgc"/>
  </w:style>
  <w:style w:type="character" w:customStyle="1" w:styleId="st1">
    <w:name w:val="st1"/>
    <w:basedOn w:val="DefaultParagraphFont"/>
    <w:rsid w:val="00CB439B"/>
  </w:style>
  <w:style w:type="character" w:styleId="Hyperlink">
    <w:name w:val="Hyperlink"/>
    <w:uiPriority w:val="99"/>
    <w:unhideWhenUsed/>
    <w:rsid w:val="00CB439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B439B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740315"/>
    <w:rPr>
      <w:rFonts w:ascii="Times New Roman" w:eastAsia="Times New Roman" w:hAnsi="Times New Roman" w:cs="Times New Roman"/>
      <w:b/>
      <w:bCs/>
      <w:noProof/>
      <w:color w:val="333333"/>
      <w:kern w:val="36"/>
      <w:sz w:val="48"/>
      <w:szCs w:val="48"/>
      <w:lang w:val="vi-VN"/>
    </w:rPr>
  </w:style>
  <w:style w:type="character" w:customStyle="1" w:styleId="watch-title">
    <w:name w:val="watch-title"/>
    <w:rsid w:val="00740315"/>
    <w:rPr>
      <w:sz w:val="24"/>
      <w:szCs w:val="24"/>
    </w:rPr>
  </w:style>
  <w:style w:type="character" w:customStyle="1" w:styleId="titletitle">
    <w:name w:val="title_title"/>
    <w:rsid w:val="00740315"/>
  </w:style>
  <w:style w:type="character" w:customStyle="1" w:styleId="unicode">
    <w:name w:val="unicode"/>
    <w:rsid w:val="00740315"/>
  </w:style>
  <w:style w:type="character" w:styleId="Emphasis">
    <w:name w:val="Emphasis"/>
    <w:uiPriority w:val="20"/>
    <w:qFormat/>
    <w:rsid w:val="00740315"/>
    <w:rPr>
      <w:b/>
      <w:bCs/>
      <w:i w:val="0"/>
      <w:iCs w:val="0"/>
    </w:rPr>
  </w:style>
  <w:style w:type="character" w:styleId="BookTitle">
    <w:name w:val="Book Title"/>
    <w:uiPriority w:val="33"/>
    <w:qFormat/>
    <w:rsid w:val="00740315"/>
    <w:rPr>
      <w:b/>
      <w:bCs/>
      <w:i/>
      <w:iCs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0315"/>
    <w:pPr>
      <w:suppressAutoHyphens/>
      <w:spacing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EndnoteTextChar">
    <w:name w:val="Endnote Text Char"/>
    <w:link w:val="EndnoteText"/>
    <w:uiPriority w:val="99"/>
    <w:semiHidden/>
    <w:rsid w:val="00740315"/>
    <w:rPr>
      <w:rFonts w:ascii="Times New Roman" w:eastAsia="SimSun" w:hAnsi="Times New Roman" w:cs="Times New Roman"/>
      <w:noProof/>
      <w:lang w:val="vi-VN" w:eastAsia="zh-CN"/>
    </w:rPr>
  </w:style>
  <w:style w:type="character" w:styleId="EndnoteReference">
    <w:name w:val="endnote reference"/>
    <w:uiPriority w:val="99"/>
    <w:semiHidden/>
    <w:unhideWhenUsed/>
    <w:rsid w:val="00740315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740315"/>
    <w:pPr>
      <w:spacing w:before="200" w:after="160" w:line="259" w:lineRule="auto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40315"/>
    <w:rPr>
      <w:rFonts w:cs="Times New Roman"/>
      <w:i/>
      <w:iCs/>
      <w:noProof/>
      <w:color w:val="404040"/>
      <w:sz w:val="22"/>
      <w:szCs w:val="22"/>
      <w:lang w:val="vi-VN"/>
    </w:rPr>
  </w:style>
  <w:style w:type="character" w:customStyle="1" w:styleId="auto-style1">
    <w:name w:val="auto-style1"/>
    <w:rsid w:val="00740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2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14583</Words>
  <Characters>83128</Characters>
  <Application>Microsoft Office Word</Application>
  <DocSecurity>0</DocSecurity>
  <Lines>692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